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A85" w:rsidRPr="00F87A85" w:rsidRDefault="00F87A85" w:rsidP="00F87A85">
      <w:pPr>
        <w:shd w:val="clear" w:color="auto" w:fill="FFFFFF"/>
        <w:spacing w:before="100" w:beforeAutospacing="1" w:after="100" w:afterAutospacing="1" w:line="652" w:lineRule="atLeast"/>
        <w:outlineLvl w:val="0"/>
        <w:rPr>
          <w:rFonts w:eastAsia="Times New Roman" w:cstheme="minorHAnsi"/>
          <w:b/>
          <w:color w:val="000000"/>
          <w:kern w:val="36"/>
          <w:sz w:val="28"/>
          <w:szCs w:val="24"/>
          <w:lang w:eastAsia="fr-BE"/>
        </w:rPr>
      </w:pPr>
      <w:r w:rsidRPr="00F87A85">
        <w:rPr>
          <w:rFonts w:eastAsia="Times New Roman" w:cstheme="minorHAnsi"/>
          <w:b/>
          <w:color w:val="000000"/>
          <w:kern w:val="36"/>
          <w:sz w:val="28"/>
          <w:szCs w:val="24"/>
          <w:lang w:eastAsia="fr-BE"/>
        </w:rPr>
        <w:t>BHP se montre prudent pour le court terme, le titre baisse</w:t>
      </w:r>
    </w:p>
    <w:p w:rsidR="00F87A85" w:rsidRPr="00F87A85" w:rsidRDefault="00F87A85" w:rsidP="00F87A85">
      <w:pPr>
        <w:shd w:val="clear" w:color="auto" w:fill="FFFFFF"/>
        <w:spacing w:after="0" w:line="240" w:lineRule="auto"/>
        <w:outlineLvl w:val="1"/>
        <w:rPr>
          <w:rFonts w:eastAsia="Times New Roman" w:cstheme="minorHAnsi"/>
          <w:color w:val="000000"/>
          <w:sz w:val="24"/>
          <w:szCs w:val="24"/>
          <w:lang w:eastAsia="fr-BE"/>
        </w:rPr>
      </w:pPr>
      <w:r w:rsidRPr="00F87A85">
        <w:rPr>
          <w:rFonts w:eastAsia="Times New Roman" w:cstheme="minorHAnsi"/>
          <w:color w:val="000000"/>
          <w:sz w:val="24"/>
          <w:szCs w:val="24"/>
          <w:lang w:eastAsia="fr-BE"/>
        </w:rPr>
        <w:t>MELBOURNE (Reuters) - BHP a fait état mardi d'une hausse légèrement moins marquée qu'attendu de son bénéfice courant annuel et le géant minier anglo-australien s'est montré prudent pour ses perspectives à moyen terme face aux tensions commerciales entre les Etats-Unis et la Chine.</w:t>
      </w:r>
    </w:p>
    <w:p w:rsidR="00F87A85" w:rsidRPr="00F87A85" w:rsidRDefault="00F87A85" w:rsidP="00F87A85">
      <w:pPr>
        <w:shd w:val="clear" w:color="auto" w:fill="FFFFFF"/>
        <w:spacing w:before="100" w:beforeAutospacing="1" w:after="100" w:afterAutospacing="1" w:line="240" w:lineRule="auto"/>
        <w:rPr>
          <w:rFonts w:eastAsia="Times New Roman" w:cstheme="minorHAnsi"/>
          <w:color w:val="000000"/>
          <w:sz w:val="24"/>
          <w:szCs w:val="24"/>
          <w:lang w:eastAsia="fr-BE"/>
        </w:rPr>
      </w:pPr>
      <w:r w:rsidRPr="00F87A85">
        <w:rPr>
          <w:rFonts w:eastAsia="Times New Roman" w:cstheme="minorHAnsi"/>
          <w:color w:val="000000"/>
          <w:sz w:val="24"/>
          <w:szCs w:val="24"/>
          <w:lang w:eastAsia="fr-BE"/>
        </w:rPr>
        <w:t>Le numéro un mondial du secteur a également évoqué une hausse de ses coûts ainsi qu'un report dans le temps d'une partie des économies promises.</w:t>
      </w:r>
    </w:p>
    <w:p w:rsidR="00F87A85" w:rsidRPr="00F87A85" w:rsidRDefault="00F87A85" w:rsidP="00F87A85">
      <w:pPr>
        <w:shd w:val="clear" w:color="auto" w:fill="FFFFFF"/>
        <w:spacing w:before="100" w:beforeAutospacing="1" w:after="100" w:afterAutospacing="1" w:line="240" w:lineRule="auto"/>
        <w:rPr>
          <w:rFonts w:eastAsia="Times New Roman" w:cstheme="minorHAnsi"/>
          <w:color w:val="000000"/>
          <w:sz w:val="24"/>
          <w:szCs w:val="24"/>
          <w:lang w:eastAsia="fr-BE"/>
        </w:rPr>
      </w:pPr>
      <w:r w:rsidRPr="00F87A85">
        <w:rPr>
          <w:rFonts w:eastAsia="Times New Roman" w:cstheme="minorHAnsi"/>
          <w:color w:val="000000"/>
          <w:sz w:val="24"/>
          <w:szCs w:val="24"/>
          <w:lang w:eastAsia="fr-BE"/>
        </w:rPr>
        <w:t>L'action BHP cotée en Australie a fini sur un recul de 1,6% à 32,64 dollars, un repli supérieur à celui de l'indice S&amp;P/ASX 200 (-0,92%) de la Bourse de Sydney.</w:t>
      </w:r>
    </w:p>
    <w:p w:rsidR="00F87A85" w:rsidRPr="00F87A85" w:rsidRDefault="00F87A85" w:rsidP="00F87A85">
      <w:pPr>
        <w:shd w:val="clear" w:color="auto" w:fill="FFFFFF"/>
        <w:spacing w:before="100" w:beforeAutospacing="1" w:after="100" w:afterAutospacing="1" w:line="240" w:lineRule="auto"/>
        <w:rPr>
          <w:rFonts w:eastAsia="Times New Roman" w:cstheme="minorHAnsi"/>
          <w:color w:val="000000"/>
          <w:sz w:val="24"/>
          <w:szCs w:val="24"/>
          <w:lang w:eastAsia="fr-BE"/>
        </w:rPr>
      </w:pPr>
      <w:r w:rsidRPr="00F87A85">
        <w:rPr>
          <w:rFonts w:eastAsia="Times New Roman" w:cstheme="minorHAnsi"/>
          <w:color w:val="000000"/>
          <w:sz w:val="24"/>
          <w:szCs w:val="24"/>
          <w:lang w:eastAsia="fr-BE"/>
        </w:rPr>
        <w:t>Sur l'ensemble de l'exercice clos le 30 juin, BHP a enregistré une hausse de 33% de son bénéfice hors éléments exceptionnels à 8,93 milliards de dollars (7,7 milliards d'euros), alors que les analystes financiers avaient anticipé en moyenne un résultat de 9,27 milliards selon le consensus </w:t>
      </w:r>
      <w:hyperlink r:id="rId5" w:tgtFrame="" w:tooltip="Thomson : Actualités de l'entreprise  sur L'Usine Nouvelle" w:history="1">
        <w:r w:rsidRPr="00F87A85">
          <w:rPr>
            <w:rFonts w:eastAsia="Times New Roman" w:cstheme="minorHAnsi"/>
            <w:color w:val="000000"/>
            <w:sz w:val="24"/>
            <w:szCs w:val="24"/>
            <w:u w:val="single"/>
            <w:lang w:eastAsia="fr-BE"/>
          </w:rPr>
          <w:t>Thomson</w:t>
        </w:r>
      </w:hyperlink>
      <w:r w:rsidRPr="00F87A85">
        <w:rPr>
          <w:rFonts w:eastAsia="Times New Roman" w:cstheme="minorHAnsi"/>
          <w:color w:val="000000"/>
          <w:sz w:val="24"/>
          <w:szCs w:val="24"/>
          <w:lang w:eastAsia="fr-BE"/>
        </w:rPr>
        <w:t> Reuters I/B/E/S.</w:t>
      </w:r>
    </w:p>
    <w:p w:rsidR="00F87A85" w:rsidRPr="00F87A85" w:rsidRDefault="00F87A85" w:rsidP="00F87A85">
      <w:pPr>
        <w:shd w:val="clear" w:color="auto" w:fill="FFFFFF"/>
        <w:spacing w:before="100" w:beforeAutospacing="1" w:after="100" w:afterAutospacing="1" w:line="240" w:lineRule="auto"/>
        <w:rPr>
          <w:rFonts w:eastAsia="Times New Roman" w:cstheme="minorHAnsi"/>
          <w:color w:val="000000"/>
          <w:sz w:val="24"/>
          <w:szCs w:val="24"/>
          <w:lang w:eastAsia="fr-BE"/>
        </w:rPr>
      </w:pPr>
      <w:r w:rsidRPr="00F87A85">
        <w:rPr>
          <w:rFonts w:eastAsia="Times New Roman" w:cstheme="minorHAnsi"/>
          <w:color w:val="000000"/>
          <w:sz w:val="24"/>
          <w:szCs w:val="24"/>
          <w:lang w:eastAsia="fr-BE"/>
        </w:rPr>
        <w:t>BHP, engagé dans une simplification de ses activités et un plan d'amélioration des distributions aux actionnaires, a estimé anticiper à moyen terme une poursuite de l'élan qui porte ses activités.</w:t>
      </w:r>
    </w:p>
    <w:p w:rsidR="00F87A85" w:rsidRPr="00F87A85" w:rsidRDefault="00F87A85" w:rsidP="00F87A85">
      <w:pPr>
        <w:shd w:val="clear" w:color="auto" w:fill="FFFFFF"/>
        <w:spacing w:before="100" w:beforeAutospacing="1" w:after="100" w:afterAutospacing="1" w:line="240" w:lineRule="auto"/>
        <w:rPr>
          <w:rFonts w:eastAsia="Times New Roman" w:cstheme="minorHAnsi"/>
          <w:color w:val="000000"/>
          <w:sz w:val="24"/>
          <w:szCs w:val="24"/>
          <w:lang w:eastAsia="fr-BE"/>
        </w:rPr>
      </w:pPr>
      <w:r w:rsidRPr="00F87A85">
        <w:rPr>
          <w:rFonts w:eastAsia="Times New Roman" w:cstheme="minorHAnsi"/>
          <w:color w:val="000000"/>
          <w:sz w:val="24"/>
          <w:szCs w:val="24"/>
          <w:lang w:eastAsia="fr-BE"/>
        </w:rPr>
        <w:t>Mais Andrew Mackenzie, son directeur général, a précisé que le groupe minier était "un peu plus inquiet" quant à l'évolution de ses activités à court terme en raison du différend commercial entre Washington et Pékin.</w:t>
      </w:r>
    </w:p>
    <w:p w:rsidR="00F87A85" w:rsidRPr="00F87A85" w:rsidRDefault="00F87A85" w:rsidP="00F87A85">
      <w:pPr>
        <w:shd w:val="clear" w:color="auto" w:fill="FFFFFF"/>
        <w:spacing w:before="100" w:beforeAutospacing="1" w:after="100" w:afterAutospacing="1" w:line="240" w:lineRule="auto"/>
        <w:rPr>
          <w:rFonts w:eastAsia="Times New Roman" w:cstheme="minorHAnsi"/>
          <w:color w:val="000000"/>
          <w:sz w:val="24"/>
          <w:szCs w:val="24"/>
          <w:lang w:eastAsia="fr-BE"/>
        </w:rPr>
      </w:pPr>
      <w:r w:rsidRPr="00F87A85">
        <w:rPr>
          <w:rFonts w:eastAsia="Times New Roman" w:cstheme="minorHAnsi"/>
          <w:color w:val="000000"/>
          <w:sz w:val="24"/>
          <w:szCs w:val="24"/>
          <w:lang w:eastAsia="fr-BE"/>
        </w:rPr>
        <w:t>BHP propos un dividende final record de 0,63 dollar par action, contre 0,43 dollar il y a un an, à la faveur d'une génération de trésorerie de 12,5 milliards de dollars, qui s'explique à la fois par de solides performances opérationnelles et par la hausse des cours des matières premières.</w:t>
      </w:r>
    </w:p>
    <w:p w:rsidR="00F87A85" w:rsidRPr="00F87A85" w:rsidRDefault="00F87A85" w:rsidP="00F87A85">
      <w:pPr>
        <w:shd w:val="clear" w:color="auto" w:fill="FFFFFF"/>
        <w:spacing w:before="100" w:beforeAutospacing="1" w:after="100" w:afterAutospacing="1" w:line="240" w:lineRule="auto"/>
        <w:rPr>
          <w:rFonts w:eastAsia="Times New Roman" w:cstheme="minorHAnsi"/>
          <w:color w:val="000000"/>
          <w:sz w:val="24"/>
          <w:szCs w:val="24"/>
          <w:lang w:eastAsia="fr-BE"/>
        </w:rPr>
      </w:pPr>
      <w:r w:rsidRPr="00F87A85">
        <w:rPr>
          <w:rFonts w:eastAsia="Times New Roman" w:cstheme="minorHAnsi"/>
          <w:color w:val="000000"/>
          <w:sz w:val="24"/>
          <w:szCs w:val="24"/>
          <w:lang w:eastAsia="fr-BE"/>
        </w:rPr>
        <w:t>Le groupe a cependant revu à la baisse ses gains de productivité anticipés pour l'exercice 2018-2019, qu'il estime désormais à un milliard de dollars seulement, contre deux milliards promis initialement.</w:t>
      </w:r>
    </w:p>
    <w:p w:rsidR="00F87A85" w:rsidRPr="00F87A85" w:rsidRDefault="00F87A85" w:rsidP="00F87A85">
      <w:pPr>
        <w:shd w:val="clear" w:color="auto" w:fill="FFFFFF"/>
        <w:spacing w:before="100" w:beforeAutospacing="1" w:after="100" w:afterAutospacing="1" w:line="240" w:lineRule="auto"/>
        <w:rPr>
          <w:rFonts w:eastAsia="Times New Roman" w:cstheme="minorHAnsi"/>
          <w:color w:val="000000"/>
          <w:sz w:val="24"/>
          <w:szCs w:val="24"/>
          <w:lang w:eastAsia="fr-BE"/>
        </w:rPr>
      </w:pPr>
      <w:r w:rsidRPr="00F87A85">
        <w:rPr>
          <w:rFonts w:eastAsia="Times New Roman" w:cstheme="minorHAnsi"/>
          <w:color w:val="000000"/>
          <w:sz w:val="24"/>
          <w:szCs w:val="24"/>
          <w:lang w:eastAsia="fr-BE"/>
        </w:rPr>
        <w:t>Et, du fait à la fois de problèmes géotechniques dans ses activités charbon dans le Queensland, du renchérissement des prix du carburant et de poches d'inflation salariale, BHP pointe du doigt une pression sur ses coûts.</w:t>
      </w:r>
    </w:p>
    <w:p w:rsidR="00F87A85" w:rsidRPr="00F87A85" w:rsidRDefault="00F87A85" w:rsidP="00F87A85">
      <w:pPr>
        <w:shd w:val="clear" w:color="auto" w:fill="FFFFFF"/>
        <w:spacing w:before="100" w:beforeAutospacing="1" w:after="100" w:afterAutospacing="1" w:line="240" w:lineRule="auto"/>
        <w:rPr>
          <w:rFonts w:eastAsia="Times New Roman" w:cstheme="minorHAnsi"/>
          <w:color w:val="000000"/>
          <w:sz w:val="24"/>
          <w:szCs w:val="24"/>
          <w:lang w:eastAsia="fr-BE"/>
        </w:rPr>
      </w:pPr>
      <w:r w:rsidRPr="00F87A85">
        <w:rPr>
          <w:rFonts w:eastAsia="Times New Roman" w:cstheme="minorHAnsi"/>
          <w:color w:val="000000"/>
          <w:sz w:val="24"/>
          <w:szCs w:val="24"/>
          <w:lang w:eastAsia="fr-BE"/>
        </w:rPr>
        <w:t xml:space="preserve">"Le dividende est meilleur que prévu mais le bénéfice 2017-2018 légèrement en-deçà du consensus et les projections en matière de coûts pour 2018-2019 devraient nous conduire à revoir en baisse nos estimations", commente dans un rapport le courtier </w:t>
      </w:r>
      <w:proofErr w:type="spellStart"/>
      <w:r w:rsidRPr="00F87A85">
        <w:rPr>
          <w:rFonts w:eastAsia="Times New Roman" w:cstheme="minorHAnsi"/>
          <w:color w:val="000000"/>
          <w:sz w:val="24"/>
          <w:szCs w:val="24"/>
          <w:lang w:eastAsia="fr-BE"/>
        </w:rPr>
        <w:t>Clarksons</w:t>
      </w:r>
      <w:proofErr w:type="spellEnd"/>
      <w:r w:rsidRPr="00F87A85">
        <w:rPr>
          <w:rFonts w:eastAsia="Times New Roman" w:cstheme="minorHAnsi"/>
          <w:color w:val="000000"/>
          <w:sz w:val="24"/>
          <w:szCs w:val="24"/>
          <w:lang w:eastAsia="fr-BE"/>
        </w:rPr>
        <w:t xml:space="preserve"> </w:t>
      </w:r>
      <w:proofErr w:type="spellStart"/>
      <w:r w:rsidRPr="00F87A85">
        <w:rPr>
          <w:rFonts w:eastAsia="Times New Roman" w:cstheme="minorHAnsi"/>
          <w:color w:val="000000"/>
          <w:sz w:val="24"/>
          <w:szCs w:val="24"/>
          <w:lang w:eastAsia="fr-BE"/>
        </w:rPr>
        <w:t>Platou</w:t>
      </w:r>
      <w:proofErr w:type="spellEnd"/>
      <w:r w:rsidRPr="00F87A85">
        <w:rPr>
          <w:rFonts w:eastAsia="Times New Roman" w:cstheme="minorHAnsi"/>
          <w:color w:val="000000"/>
          <w:sz w:val="24"/>
          <w:szCs w:val="24"/>
          <w:lang w:eastAsia="fr-BE"/>
        </w:rPr>
        <w:t>.</w:t>
      </w:r>
    </w:p>
    <w:p w:rsidR="00F87A85" w:rsidRPr="00F87A85" w:rsidRDefault="00F87A85" w:rsidP="00F87A85">
      <w:pPr>
        <w:shd w:val="clear" w:color="auto" w:fill="FFFFFF"/>
        <w:spacing w:before="100" w:beforeAutospacing="1" w:after="100" w:afterAutospacing="1" w:line="240" w:lineRule="auto"/>
        <w:rPr>
          <w:rFonts w:eastAsia="Times New Roman" w:cstheme="minorHAnsi"/>
          <w:color w:val="000000"/>
          <w:sz w:val="24"/>
          <w:szCs w:val="24"/>
          <w:lang w:eastAsia="fr-BE"/>
        </w:rPr>
      </w:pPr>
      <w:r w:rsidRPr="00F87A85">
        <w:rPr>
          <w:rFonts w:eastAsia="Times New Roman" w:cstheme="minorHAnsi"/>
          <w:color w:val="000000"/>
          <w:sz w:val="24"/>
          <w:szCs w:val="24"/>
          <w:lang w:eastAsia="fr-BE"/>
        </w:rPr>
        <w:t>Le chiffre d'affaires 2017-2018 de BHP Billiton a augmenté de 20% à 45,81 milliards de dollars, avec une hausse de 1,3% pour la seule division de minerai de fer, la plus importante du groupe, et un bond de près de 60% des revenus tirés du cuivre, grâce notamment à une hausse de la production de la mine d'</w:t>
      </w:r>
      <w:proofErr w:type="spellStart"/>
      <w:r w:rsidRPr="00F87A85">
        <w:rPr>
          <w:rFonts w:eastAsia="Times New Roman" w:cstheme="minorHAnsi"/>
          <w:color w:val="000000"/>
          <w:sz w:val="24"/>
          <w:szCs w:val="24"/>
          <w:lang w:eastAsia="fr-BE"/>
        </w:rPr>
        <w:t>Escondida</w:t>
      </w:r>
      <w:proofErr w:type="spellEnd"/>
      <w:r w:rsidRPr="00F87A85">
        <w:rPr>
          <w:rFonts w:eastAsia="Times New Roman" w:cstheme="minorHAnsi"/>
          <w:color w:val="000000"/>
          <w:sz w:val="24"/>
          <w:szCs w:val="24"/>
          <w:lang w:eastAsia="fr-BE"/>
        </w:rPr>
        <w:t>, au Chili.</w:t>
      </w:r>
    </w:p>
    <w:p w:rsidR="00F87A85" w:rsidRPr="00F87A85" w:rsidRDefault="00F87A85" w:rsidP="00F87A85">
      <w:pPr>
        <w:shd w:val="clear" w:color="auto" w:fill="FFFFFF"/>
        <w:spacing w:before="100" w:beforeAutospacing="1" w:after="100" w:afterAutospacing="1" w:line="240" w:lineRule="auto"/>
        <w:rPr>
          <w:rFonts w:eastAsia="Times New Roman" w:cstheme="minorHAnsi"/>
          <w:color w:val="000000"/>
          <w:sz w:val="24"/>
          <w:szCs w:val="24"/>
          <w:lang w:eastAsia="fr-BE"/>
        </w:rPr>
      </w:pPr>
      <w:r w:rsidRPr="00F87A85">
        <w:rPr>
          <w:rFonts w:eastAsia="Times New Roman" w:cstheme="minorHAnsi"/>
          <w:color w:val="000000"/>
          <w:sz w:val="24"/>
          <w:szCs w:val="24"/>
          <w:lang w:eastAsia="fr-BE"/>
        </w:rPr>
        <w:lastRenderedPageBreak/>
        <w:t>L'endettement net de BHP a été ramené à 10,9 milliards de dollars au 30 juin, soit dans le bas de la fourchette allant de 10 à 15 milliards de dollars fixée par le groupe.</w:t>
      </w:r>
    </w:p>
    <w:p w:rsidR="00F87A85" w:rsidRPr="00F87A85" w:rsidRDefault="00F87A85" w:rsidP="00F87A85">
      <w:pPr>
        <w:shd w:val="clear" w:color="auto" w:fill="FFFFFF"/>
        <w:spacing w:before="100" w:beforeAutospacing="1" w:after="100" w:afterAutospacing="1" w:line="240" w:lineRule="auto"/>
        <w:rPr>
          <w:rFonts w:eastAsia="Times New Roman" w:cstheme="minorHAnsi"/>
          <w:color w:val="000000"/>
          <w:sz w:val="24"/>
          <w:szCs w:val="24"/>
          <w:lang w:eastAsia="fr-BE"/>
        </w:rPr>
      </w:pPr>
      <w:r w:rsidRPr="00F87A85">
        <w:rPr>
          <w:rFonts w:eastAsia="Times New Roman" w:cstheme="minorHAnsi"/>
          <w:color w:val="000000"/>
          <w:sz w:val="24"/>
          <w:szCs w:val="24"/>
          <w:lang w:eastAsia="fr-BE"/>
        </w:rPr>
        <w:t> </w:t>
      </w:r>
    </w:p>
    <w:p w:rsidR="004125E9" w:rsidRPr="00F87A85" w:rsidRDefault="004125E9">
      <w:pPr>
        <w:rPr>
          <w:rFonts w:cstheme="minorHAnsi"/>
          <w:sz w:val="24"/>
          <w:szCs w:val="24"/>
        </w:rPr>
      </w:pPr>
    </w:p>
    <w:sectPr w:rsidR="004125E9" w:rsidRPr="00F87A85" w:rsidSect="004125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33DF0"/>
    <w:multiLevelType w:val="multilevel"/>
    <w:tmpl w:val="5270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87A85"/>
    <w:rsid w:val="004125E9"/>
    <w:rsid w:val="00F87A8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5E9"/>
  </w:style>
  <w:style w:type="paragraph" w:styleId="Titre1">
    <w:name w:val="heading 1"/>
    <w:basedOn w:val="Normal"/>
    <w:link w:val="Titre1Car"/>
    <w:uiPriority w:val="9"/>
    <w:qFormat/>
    <w:rsid w:val="00F87A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F87A85"/>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7A85"/>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F87A85"/>
    <w:rPr>
      <w:rFonts w:ascii="Times New Roman" w:eastAsia="Times New Roman" w:hAnsi="Times New Roman" w:cs="Times New Roman"/>
      <w:b/>
      <w:bCs/>
      <w:sz w:val="36"/>
      <w:szCs w:val="36"/>
      <w:lang w:eastAsia="fr-BE"/>
    </w:rPr>
  </w:style>
  <w:style w:type="character" w:customStyle="1" w:styleId="tagart">
    <w:name w:val="tagart"/>
    <w:basedOn w:val="Policepardfaut"/>
    <w:rsid w:val="00F87A85"/>
  </w:style>
  <w:style w:type="character" w:styleId="Lienhypertexte">
    <w:name w:val="Hyperlink"/>
    <w:basedOn w:val="Policepardfaut"/>
    <w:uiPriority w:val="99"/>
    <w:semiHidden/>
    <w:unhideWhenUsed/>
    <w:rsid w:val="00F87A85"/>
    <w:rPr>
      <w:color w:val="0000FF"/>
      <w:u w:val="single"/>
    </w:rPr>
  </w:style>
  <w:style w:type="paragraph" w:customStyle="1" w:styleId="datetime">
    <w:name w:val="datetime"/>
    <w:basedOn w:val="Normal"/>
    <w:rsid w:val="00F87A8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opyrightimage">
    <w:name w:val="copyrightimage"/>
    <w:basedOn w:val="Policepardfaut"/>
    <w:rsid w:val="00F87A85"/>
  </w:style>
  <w:style w:type="character" w:customStyle="1" w:styleId="txtsocialbar">
    <w:name w:val="txtsocialbar"/>
    <w:basedOn w:val="Policepardfaut"/>
    <w:rsid w:val="00F87A85"/>
  </w:style>
  <w:style w:type="paragraph" w:styleId="NormalWeb">
    <w:name w:val="Normal (Web)"/>
    <w:basedOn w:val="Normal"/>
    <w:uiPriority w:val="99"/>
    <w:semiHidden/>
    <w:unhideWhenUsed/>
    <w:rsid w:val="00F87A8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F87A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7A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0119140">
      <w:bodyDiv w:val="1"/>
      <w:marLeft w:val="0"/>
      <w:marRight w:val="0"/>
      <w:marTop w:val="0"/>
      <w:marBottom w:val="0"/>
      <w:divBdr>
        <w:top w:val="none" w:sz="0" w:space="0" w:color="auto"/>
        <w:left w:val="none" w:sz="0" w:space="0" w:color="auto"/>
        <w:bottom w:val="none" w:sz="0" w:space="0" w:color="auto"/>
        <w:right w:val="none" w:sz="0" w:space="0" w:color="auto"/>
      </w:divBdr>
      <w:divsChild>
        <w:div w:id="984239832">
          <w:marLeft w:val="0"/>
          <w:marRight w:val="0"/>
          <w:marTop w:val="543"/>
          <w:marBottom w:val="54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inenouvelle.com/thomso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459</Words>
  <Characters>2525</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2018-08-22T11:10:00Z</dcterms:created>
  <dcterms:modified xsi:type="dcterms:W3CDTF">2018-08-22T11:12:00Z</dcterms:modified>
</cp:coreProperties>
</file>